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006877"/>
          <w:sz w:val="52"/>
        </w:rPr>
        <w:t>Általános Szerződési Feltételek</w:t>
      </w:r>
    </w:p>
    <w:p>
      <w:r>
        <w:rPr>
          <w:color w:val="3B494C"/>
          <w:sz w:val="20"/>
        </w:rPr>
        <w:t>DVP Systems Kft. · ÁSZF-2026-v1.0 · Hatályos: 2026. január 1. · Kizárólag B2B</w:t>
      </w:r>
    </w:p>
    <w:p/>
    <w:p>
      <w:pPr>
        <w:pStyle w:val="Heading2"/>
      </w:pPr>
      <w:r>
        <w:rPr>
          <w:b/>
          <w:color w:val="006877"/>
          <w:sz w:val="26"/>
        </w:rPr>
        <w:t>Fontos feltételek összefoglalója (Ptk. 6:78§ — szokatlan feltételek)</w:t>
      </w:r>
    </w:p>
    <w:p>
      <w:pPr/>
      <w:r>
        <w:rPr>
          <w:sz w:val="21"/>
        </w:rPr>
        <w:t>Felelősségi korlát: 12 havi előfizetési díj összege</w:t>
      </w:r>
    </w:p>
    <w:p>
      <w:pPr/>
      <w:r>
        <w:rPr>
          <w:sz w:val="21"/>
        </w:rPr>
        <w:t>Próbaidőszak: 60 nap — auto-felfüggesztés, NEM auto-számlázás</w:t>
      </w:r>
    </w:p>
    <w:p>
      <w:pPr/>
      <w:r>
        <w:rPr>
          <w:sz w:val="21"/>
        </w:rPr>
        <w:t>Felmondás: 30 napos felmondási idő, hűségidő nélkül</w:t>
      </w:r>
    </w:p>
    <w:p>
      <w:pPr/>
      <w:r>
        <w:rPr>
          <w:sz w:val="21"/>
        </w:rPr>
        <w:t>Adatexport: 30 nap a szerződés megszűnése után</w:t>
      </w:r>
    </w:p>
    <w:p>
      <w:pPr/>
      <w:r>
        <w:rPr>
          <w:sz w:val="21"/>
        </w:rPr>
        <w:t>Közvetett károk teljes kizárása: hatósági bírságok, elmaradt haszon</w:t>
      </w:r>
    </w:p>
    <w:p>
      <w:pPr/>
      <w:r>
        <w:rPr>
          <w:sz w:val="21"/>
        </w:rPr>
        <w:t>Illetékesség: Fővárosi Törvényszék / Budai Kerületi Bíróság</w:t>
      </w:r>
    </w:p>
    <w:p/>
    <w:p>
      <w:pPr>
        <w:pStyle w:val="Heading2"/>
      </w:pPr>
      <w:r>
        <w:rPr>
          <w:b/>
          <w:color w:val="006877"/>
          <w:sz w:val="26"/>
        </w:rPr>
        <w:t>1. § Értelmező rendelkezések</w:t>
      </w:r>
    </w:p>
    <w:p>
      <w:pPr/>
      <w:r>
        <w:rPr>
          <w:sz w:val="21"/>
        </w:rPr>
        <w:t>Szolgáltató: DVP Systems Korlátolt Felelősségű Társaság (rövidített név: DVP Systems Kft.); székhely: 1141 Budapest, Szugló utca 125. G. ép. A. lház. 3. emelet 1. ajtó; adószám: 32788156-2-42; cégjegyzékszám: 01 09 442670.</w:t>
      </w:r>
    </w:p>
    <w:p>
      <w:pPr/>
      <w:r>
        <w:rPr>
          <w:sz w:val="21"/>
        </w:rPr>
        <w:t>Előfizető: Az a gazdálkodó szervezet vagy egyéni vállalkozó (B2B partner), aki a Szolgáltatást üzleti tevékenysége körében veszi igénybe, és az online regisztrációs felületen explicit jelölőnégyzet alkalmazásával elfogadja a jelen ÁSZF-et (Ptk. 6:77–6:81. §). Természetes személyek fogyasztói minőségben a Szolgáltatást nem vehetik igénybe.</w:t>
      </w:r>
    </w:p>
    <w:p>
      <w:pPr/>
      <w:r>
        <w:rPr>
          <w:sz w:val="21"/>
        </w:rPr>
        <w:t>Szolgáltatás: Felhőalapú (SaaS) flotta- és munkaidő-menedzsment szoftverszolgáltatás (SimpliFleet + SimpliTime).</w:t>
      </w:r>
    </w:p>
    <w:p>
      <w:pPr/>
      <w:r>
        <w:rPr>
          <w:sz w:val="21"/>
        </w:rPr>
        <w:t>Platform: A Szolgáltató által biztosított zárt informatikai környezet.</w:t>
      </w:r>
    </w:p>
    <w:p>
      <w:pPr/>
      <w:r>
        <w:rPr>
          <w:sz w:val="21"/>
        </w:rPr>
        <w:t>Adatfeldolgozó: A Szolgáltató, aki az Előfizető utasításai alapján kezeli a személyes adatokat (GDPR 28. cikk).</w:t>
      </w:r>
    </w:p>
    <w:p>
      <w:pPr/>
      <w:r>
        <w:rPr>
          <w:sz w:val="21"/>
        </w:rPr>
        <w:t>TIG/NEXON Export: Technikai adat-előkészítési modulok — nem adótanácsadói vagy jogi tanácsadói szolgáltatás.</w:t>
      </w:r>
    </w:p>
    <w:p/>
    <w:p>
      <w:pPr>
        <w:pStyle w:val="Heading2"/>
      </w:pPr>
      <w:r>
        <w:rPr>
          <w:b/>
          <w:color w:val="006877"/>
          <w:sz w:val="26"/>
        </w:rPr>
        <w:t>2. § A szolgáltatás leírása és csomagfeltételek</w:t>
      </w:r>
    </w:p>
    <w:p>
      <w:pPr/>
      <w:r>
        <w:rPr>
          <w:sz w:val="21"/>
        </w:rPr>
        <w:t>SimpliFleet: Felhőalapú flottakezelő ERP — sofőr/jármű nyilvántartás, TIG-generálás, karbantartás-nyilvántartás, compliance-riasztások, jóváhagyási workflow, REST API.</w:t>
      </w:r>
    </w:p>
    <w:p>
      <w:pPr/>
      <w:r>
        <w:rPr>
          <w:sz w:val="21"/>
        </w:rPr>
        <w:t>SimpliTime: Felhőalapú munkaidő-nyilvántartó — jelenléti adatok, projekt időelszámolás, kétszintű jóváhagyás, NEXON-kompatibilis export.</w:t>
      </w:r>
    </w:p>
    <w:p>
      <w:pPr/>
      <w:r>
        <w:rPr>
          <w:sz w:val="21"/>
        </w:rPr>
        <w:t>Csomagok: Starter, Pro, Business — hibrid díjazás (fix alapdíj + per-jármű/per-fő egységdíj).</w:t>
      </w:r>
    </w:p>
    <w:p>
      <w:pPr/>
      <w:r>
        <w:rPr>
          <w:sz w:val="21"/>
        </w:rPr>
        <w:t>60 napos ingyenes próbaidőszak: Lejártakor auto-felfüggesztés, NEM auto-számlázás. 30 napos adatexport ablak, majd törlés.</w:t>
      </w:r>
    </w:p>
    <w:p>
      <w:pPr/>
      <w:r>
        <w:rPr>
          <w:sz w:val="21"/>
        </w:rPr>
        <w:t>Módosítás: Lényeges változásról 30 nappal előre e-mail értesítés.</w:t>
      </w:r>
    </w:p>
    <w:p/>
    <w:p>
      <w:pPr>
        <w:pStyle w:val="Heading2"/>
      </w:pPr>
      <w:r>
        <w:rPr>
          <w:b/>
          <w:color w:val="006877"/>
          <w:sz w:val="26"/>
        </w:rPr>
        <w:t>3. § Előfizetés, számlázás és fizetési feltételek</w:t>
      </w:r>
    </w:p>
    <w:p>
      <w:pPr/>
      <w:r>
        <w:rPr>
          <w:sz w:val="21"/>
        </w:rPr>
        <w:t>Díjazás: Fix havi alapdíj + gépjármű/felhasználói egységdíj. Minden díj nettó összeg, ÁFA-val növelve.</w:t>
      </w:r>
    </w:p>
    <w:p>
      <w:pPr/>
      <w:r>
        <w:rPr>
          <w:sz w:val="21"/>
        </w:rPr>
        <w:t>Számlázás: Tárgyhónap elején kiállított elektronikus számla. Fizetési határidő: 8 naptári nap.</w:t>
      </w:r>
    </w:p>
    <w:p>
      <w:pPr/>
      <w:r>
        <w:rPr>
          <w:sz w:val="21"/>
        </w:rPr>
        <w:t>Késedelem: Ptk. szerinti törvényes késedelmi kamat. 8 nap után funkcionális korlátozás, 15 nap után teljes felfüggesztés.</w:t>
      </w:r>
    </w:p>
    <w:p>
      <w:pPr/>
      <w:r>
        <w:rPr>
          <w:sz w:val="21"/>
        </w:rPr>
        <w:t>Éves előfizetés: Egyösszegű előre fizetés — 2 havi díjelengedés.</w:t>
      </w:r>
    </w:p>
    <w:p>
      <w:pPr/>
      <w:r>
        <w:rPr>
          <w:sz w:val="21"/>
        </w:rPr>
        <w:t>Fizetési mód: Banki átutalás.</w:t>
      </w:r>
    </w:p>
    <w:p/>
    <w:p>
      <w:pPr>
        <w:pStyle w:val="Heading2"/>
      </w:pPr>
      <w:r>
        <w:rPr>
          <w:b/>
          <w:color w:val="006877"/>
          <w:sz w:val="26"/>
        </w:rPr>
        <w:t>4. § Szellemi tulajdon és felhasználási korlátok</w:t>
      </w:r>
    </w:p>
    <w:p>
      <w:pPr/>
      <w:r>
        <w:rPr>
          <w:sz w:val="21"/>
        </w:rPr>
        <w:t>A Platform a Szolgáltató kizárólagos szellemi tulajdona (1999. évi LXXVI. törvény). Nem kerül sor szoftver tulajdonjog átruházásra.</w:t>
      </w:r>
    </w:p>
    <w:p>
      <w:pPr/>
      <w:r>
        <w:rPr>
          <w:sz w:val="21"/>
        </w:rPr>
        <w:t>Az Előfizető kap: nem kizárólagos, nem átruházható, időkorlátozott hozzáférési jogot.</w:t>
      </w:r>
    </w:p>
    <w:p>
      <w:pPr/>
      <w:r>
        <w:rPr>
          <w:sz w:val="21"/>
        </w:rPr>
        <w:t>Tilos: reverse engineering, scraping, továbbértékesítés, versenytársi összehasonlítás.</w:t>
      </w:r>
    </w:p>
    <w:p>
      <w:pPr/>
      <w:r>
        <w:rPr>
          <w:sz w:val="21"/>
        </w:rPr>
        <w:t>Feltöltött adatok az Előfizető tulajdona; Szolgáltató kizárólag anonimizált, aggregált formában használhatja.</w:t>
      </w:r>
    </w:p>
    <w:p/>
    <w:p>
      <w:pPr>
        <w:pStyle w:val="Heading2"/>
      </w:pPr>
      <w:r>
        <w:rPr>
          <w:b/>
          <w:color w:val="006877"/>
          <w:sz w:val="26"/>
        </w:rPr>
        <w:t>5. § Szolgáltatási szint (SLA) és rendelkezésre állás</w:t>
      </w:r>
    </w:p>
    <w:p>
      <w:pPr/>
      <w:r>
        <w:rPr>
          <w:sz w:val="21"/>
        </w:rPr>
        <w:t>Garancia: 99,5% éves rendelkezésre állás.</w:t>
      </w:r>
    </w:p>
    <w:p>
      <w:pPr/>
      <w:r>
        <w:rPr>
          <w:sz w:val="21"/>
        </w:rPr>
        <w:t>Service credit (kizárólagos jogorvoslat leállásra): 0,01–1,0% kiesés → 5%; 1,01–5,0% → 15%; 5,01%+ → 25% havi alapdíjból.</w:t>
      </w:r>
    </w:p>
    <w:p>
      <w:pPr/>
      <w:r>
        <w:rPr>
          <w:sz w:val="21"/>
        </w:rPr>
        <w:t>Service credit kizárólagos jogorvoslat, kivéve szándékos/súlyosan gondatlan magatartást.</w:t>
      </w:r>
    </w:p>
    <w:p>
      <w:pPr/>
      <w:r>
        <w:rPr>
          <w:sz w:val="21"/>
        </w:rPr>
        <w:t>Kizárások: vis maior, Előfizető internet/hardver hibája, harmadik fél (GPS műholdak, mobilhálózat), fizikai GPS eszköz meghibásodás.</w:t>
      </w:r>
    </w:p>
    <w:p/>
    <w:p>
      <w:pPr>
        <w:pStyle w:val="Heading2"/>
      </w:pPr>
      <w:r>
        <w:rPr>
          <w:b/>
          <w:color w:val="006877"/>
          <w:sz w:val="26"/>
        </w:rPr>
        <w:t>6. § Az előfizető kötelezettségei</w:t>
      </w:r>
    </w:p>
    <w:p>
      <w:pPr/>
      <w:r>
        <w:rPr>
          <w:sz w:val="21"/>
        </w:rPr>
        <w:t>GPS engedélyezése előtt: Munkahelyi Adatvédelmi Szabályzat + LIA + munkavállalói tájékoztatás + figyelmeztető matrica a járművekben (Mt. 11/A. §).</w:t>
      </w:r>
    </w:p>
    <w:p>
      <w:pPr/>
      <w:r>
        <w:rPr>
          <w:sz w:val="21"/>
        </w:rPr>
        <w:t>Különleges személyes adatok (egészségügyi, biometrikus) feltöltése tilos.</w:t>
      </w:r>
    </w:p>
    <w:p>
      <w:pPr/>
      <w:r>
        <w:rPr>
          <w:sz w:val="21"/>
        </w:rPr>
        <w:t>Hozzáférési adatok bizalmas kezelése; illetéktelen hozzáférés esetén azonnali jelzés.</w:t>
      </w:r>
    </w:p>
    <w:p>
      <w:pPr/>
      <w:r>
        <w:rPr>
          <w:sz w:val="21"/>
        </w:rPr>
        <w:t>API Fair Use keretein belül; szándékos túlterhelés tilos.</w:t>
      </w:r>
    </w:p>
    <w:p>
      <w:pPr/>
      <w:r>
        <w:rPr>
          <w:sz w:val="21"/>
        </w:rPr>
        <w:t>Szavatol: kizárólag B2B minőségben jár el (fogyasztói jogviszony kizárva).</w:t>
      </w:r>
    </w:p>
    <w:p/>
    <w:p>
      <w:pPr>
        <w:pStyle w:val="Heading2"/>
      </w:pPr>
      <w:r>
        <w:rPr>
          <w:b/>
          <w:color w:val="006877"/>
          <w:sz w:val="26"/>
        </w:rPr>
        <w:t>7. § Felelősség korlátozása (Ptk. 6:152. §)</w:t>
      </w:r>
    </w:p>
    <w:p>
      <w:pPr/>
      <w:r>
        <w:rPr>
          <w:sz w:val="21"/>
        </w:rPr>
        <w:t>7.1 Felelősségi korlát: Maximum a megelőző 12 havi nettó előfizetési díjak összege.</w:t>
      </w:r>
    </w:p>
    <w:p>
      <w:pPr/>
      <w:r>
        <w:rPr>
          <w:sz w:val="21"/>
        </w:rPr>
        <w:t>7.2 Közvetett/következményi károk teljes kizárása: elmaradt haszon, üzletmenet-kiesés, adatvesztés, hatósági bírságok (NAV, munkaügyi hatóság, NAIH), GPS/mobileszköz hibák.</w:t>
      </w:r>
    </w:p>
    <w:p>
      <w:pPr/>
      <w:r>
        <w:rPr>
          <w:sz w:val="21"/>
        </w:rPr>
        <w:t>7.3 SLA kiesés: Kizárólagos jogorvoslat = service credit.</w:t>
      </w:r>
    </w:p>
    <w:p>
      <w:pPr/>
      <w:r>
        <w:rPr>
          <w:sz w:val="21"/>
        </w:rPr>
        <w:t>7.4 TIG/NEXON megfelelőség: Az Előfizető viseli a teljes felelősséget a hatósági megfelelőségért. DVP Systems nem adótanácsadó, nem bérszámfejtő.</w:t>
      </w:r>
    </w:p>
    <w:p>
      <w:pPr/>
      <w:r>
        <w:rPr>
          <w:sz w:val="21"/>
        </w:rPr>
        <w:t>7.5 Kötelező kivételek: Szándékos/súlyosan gondatlan károkozás és élet/testi épség/egészség sérelme esetén a korlátozás nem alkalmazandó.</w:t>
      </w:r>
    </w:p>
    <w:p/>
    <w:p>
      <w:pPr>
        <w:pStyle w:val="Heading2"/>
      </w:pPr>
      <w:r>
        <w:rPr>
          <w:b/>
          <w:color w:val="006877"/>
          <w:sz w:val="26"/>
        </w:rPr>
        <w:t>8. § Vis maior</w:t>
      </w:r>
    </w:p>
    <w:p>
      <w:pPr/>
      <w:r>
        <w:rPr>
          <w:sz w:val="21"/>
        </w:rPr>
        <w:t>Vis maiornak minősül: természeti katasztrófa, háború, terrorcselekmény, sztrájk; globális felhőszolgáltató kiterjedt üzemszünete; internet backbone meghibásodás; elháríthatatlan DDoS/ransomware; hatósági intézkedés.</w:t>
      </w:r>
    </w:p>
    <w:p>
      <w:pPr/>
      <w:r>
        <w:rPr>
          <w:sz w:val="21"/>
        </w:rPr>
        <w:t>Értesítési kötelezettség: Haladéktalanul. Fennállás alatt SLA nem számon kérhető.</w:t>
      </w:r>
    </w:p>
    <w:p>
      <w:pPr/>
      <w:r>
        <w:rPr>
          <w:sz w:val="21"/>
        </w:rPr>
        <w:t>30 nap felett: Bármelyik fél azonnali hatályú, kártalanítási kötelezettség nélküli felmondása.</w:t>
      </w:r>
    </w:p>
    <w:p/>
    <w:p>
      <w:pPr>
        <w:pStyle w:val="Heading2"/>
      </w:pPr>
      <w:r>
        <w:rPr>
          <w:b/>
          <w:color w:val="006877"/>
          <w:sz w:val="26"/>
        </w:rPr>
        <w:t>9. § ÁSZF módosítása és a szerződés megszűnése</w:t>
      </w:r>
    </w:p>
    <w:p>
      <w:pPr/>
      <w:r>
        <w:rPr>
          <w:sz w:val="21"/>
        </w:rPr>
        <w:t>ÁSZF módosítás: 30 napos e-mail értesítés; érdemi módosításnál aktív megerősítési lehetőség.</w:t>
      </w:r>
    </w:p>
    <w:p>
      <w:pPr/>
      <w:r>
        <w:rPr>
          <w:sz w:val="21"/>
        </w:rPr>
        <w:t>Felmondás: 30 napos felmondási idő, hűségidő nélkül, írásban (sales@dvp.systems).</w:t>
      </w:r>
    </w:p>
    <w:p>
      <w:pPr/>
      <w:r>
        <w:rPr>
          <w:sz w:val="21"/>
        </w:rPr>
        <w:t>Azonnali felmondás (Szolgáltató): 30 nap+ fizetési késedelem; súlyos ÁSZF-sértés; felszámolás.</w:t>
      </w:r>
    </w:p>
    <w:p>
      <w:pPr/>
      <w:r>
        <w:rPr>
          <w:sz w:val="21"/>
        </w:rPr>
        <w:t>Adatok megszűnéskor: 30 napos adatexport ablak (CSV/XLSX/JSON). Törlés — kivéve Számviteli tv. 169. § szerinti 8 éves megőrzés. Biztonsági mentések: legfeljebb 90 napon belül törlés.</w:t>
      </w:r>
    </w:p>
    <w:p/>
    <w:p>
      <w:pPr>
        <w:pStyle w:val="Heading2"/>
      </w:pPr>
      <w:r>
        <w:rPr>
          <w:b/>
          <w:color w:val="006877"/>
          <w:sz w:val="26"/>
        </w:rPr>
        <w:t>10. § Adatvédelem, adatbiztonság és sütik</w:t>
      </w:r>
    </w:p>
    <w:p>
      <w:pPr/>
      <w:r>
        <w:rPr>
          <w:sz w:val="21"/>
        </w:rPr>
        <w:t>GDPR (EU) 2016/679 és Infotv. (2011. évi CXII. tv.) szerint.</w:t>
      </w:r>
    </w:p>
    <w:p>
      <w:pPr/>
      <w:r>
        <w:rPr>
          <w:sz w:val="21"/>
        </w:rPr>
        <w:t>Saját adatkezelések: Adatvédelmi Tájékoztató (dvp.systems/adatvedelmi-nyilatkozat) szerint.</w:t>
      </w:r>
    </w:p>
    <w:p>
      <w:pPr/>
      <w:r>
        <w:rPr>
          <w:sz w:val="21"/>
        </w:rPr>
        <w:t>Ügyfél adatai: DVP = adatfeldolgozó; Adatfeldolgozói Megállapodás (dvp.systems/legal/adatfeldolgozoi-megallapodas) alapján.</w:t>
      </w:r>
    </w:p>
    <w:p>
      <w:pPr/>
      <w:r>
        <w:rPr>
          <w:sz w:val="21"/>
        </w:rPr>
        <w:t>Incidens: 24 órán belüli értesítés az Előfizető felé.</w:t>
      </w:r>
    </w:p>
    <w:p>
      <w:pPr/>
      <w:r>
        <w:rPr>
          <w:sz w:val="21"/>
        </w:rPr>
        <w:t>Sütik: Csak technikai sütik (Eht. 155. § (4) bek.). Analitikai/marketing sütik kizárva.</w:t>
      </w:r>
    </w:p>
    <w:p/>
    <w:p>
      <w:pPr>
        <w:pStyle w:val="Heading2"/>
      </w:pPr>
      <w:r>
        <w:rPr>
          <w:b/>
          <w:color w:val="006877"/>
          <w:sz w:val="26"/>
        </w:rPr>
        <w:t>11. § Záró rendelkezések</w:t>
      </w:r>
    </w:p>
    <w:p>
      <w:pPr/>
      <w:r>
        <w:rPr>
          <w:sz w:val="21"/>
        </w:rPr>
        <w:t>Hatálybalépés: 2026. január 1. · Verzió: ÁSZF-2026-v1.0.</w:t>
      </w:r>
    </w:p>
    <w:p>
      <w:pPr/>
      <w:r>
        <w:rPr>
          <w:sz w:val="21"/>
        </w:rPr>
        <w:t>Elválaszthatóság: Érvénytelen rendelkezés nem érinti a többit.</w:t>
      </w:r>
    </w:p>
    <w:p>
      <w:pPr/>
      <w:r>
        <w:rPr>
          <w:sz w:val="21"/>
        </w:rPr>
        <w:t>Teljes megállapodás: ÁSZF + DPA + Adatvédelmi Tájékoztató együttesen alkotják a teljes szerződést. Prioritás: egyedi megrendelés &gt; DPA &gt; ÁSZF &gt; terméktájékoztató.</w:t>
      </w:r>
    </w:p>
    <w:p>
      <w:pPr/>
      <w:r>
        <w:rPr>
          <w:sz w:val="21"/>
        </w:rPr>
        <w:t>Írásbeli kommunikáció: sales@dvp.systems e-mail érvényes írásbeli értesítés.</w:t>
      </w:r>
    </w:p>
    <w:p>
      <w:pPr/>
      <w:r>
        <w:rPr>
          <w:sz w:val="21"/>
        </w:rPr>
        <w:t>Irányadó jog és illetékesség: Magyar jog. Fővárosi Törvényszék, ill. hatáskör hiányában Budai Kerületi Bíróság kizárólagos illetékessége (Pp. 25. §).</w:t>
      </w:r>
    </w:p>
    <w:p/>
    <w:sectPr w:rsidR="00FC693F" w:rsidRPr="0006063C" w:rsidSect="00034616"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Általános Szerződési Feltételek – DVP Systems Kft.</dc:title>
  <dc:subject/>
  <dc:creator>DVP Systems Kft.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