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006877"/>
          <w:sz w:val="52"/>
        </w:rPr>
        <w:t>Adatfeldolgozói Megállapodás</w:t>
      </w:r>
    </w:p>
    <w:p>
      <w:r>
        <w:rPr>
          <w:color w:val="3B494C"/>
          <w:sz w:val="20"/>
        </w:rPr>
        <w:t>DVP Systems Kft. · GDPR 28. cikk · DPA-2026-v1.0 · Az ÁSZF melléklete</w:t>
      </w:r>
    </w:p>
    <w:p/>
    <w:p>
      <w:pPr>
        <w:pStyle w:val="Heading2"/>
      </w:pPr>
      <w:r>
        <w:rPr>
          <w:b/>
          <w:color w:val="006877"/>
          <w:sz w:val="26"/>
        </w:rPr>
        <w:t>Preambulum</w:t>
      </w:r>
    </w:p>
    <w:p>
      <w:pPr/>
      <w:r>
        <w:rPr>
          <w:sz w:val="21"/>
        </w:rPr>
        <w:t>Adatfeldolgozó: DVP Systems Korlátolt Felelősségű Társaság (röv.: DVP Systems Kft.); székhely: 1141 Budapest, Szugló utca 125. G. ép. A. lház. 3. emelet 1. ajtó; adószám: 32788156-2-42; cégjegyzékszám: 01 09 442670.</w:t>
      </w:r>
    </w:p>
    <w:p>
      <w:pPr/>
      <w:r>
        <w:rPr>
          <w:sz w:val="21"/>
        </w:rPr>
        <w:t>Adatkezelő: Az Előfizető/Ügyfél, aki a SimpliFleet és/vagy SimpliTime Platformra vonatkozó előfizetési szerződést kötött.</w:t>
      </w:r>
    </w:p>
    <w:p>
      <w:pPr/>
      <w:r>
        <w:rPr>
          <w:sz w:val="21"/>
        </w:rPr>
        <w:t>Alapja: Az Előfizető és DVP Systems közötti aktív előfizetési szerződés — jelen DPA annak melléklete.</w:t>
      </w:r>
    </w:p>
    <w:p>
      <w:pPr/>
      <w:r>
        <w:rPr>
          <w:sz w:val="21"/>
        </w:rPr>
        <w:t>Tárgy: GDPR 28. cikk szerinti adatfeldolgozói jogviszony szabályozása.</w:t>
      </w:r>
    </w:p>
    <w:p>
      <w:pPr/>
      <w:r>
        <w:rPr>
          <w:sz w:val="21"/>
        </w:rPr>
        <w:t>KRITIKUS: GPS/munkaidő adatok munkaviszonyban NEM alapulhatnak munkavállalói hozzájáruláson. Kizárólagos jogalap: GDPR 6. cikk (1) bek. f) pont — az Adatkezelő dokumentált jogos érdeke.</w:t>
      </w:r>
    </w:p>
    <w:p/>
    <w:p>
      <w:pPr>
        <w:pStyle w:val="Heading2"/>
      </w:pPr>
      <w:r>
        <w:rPr>
          <w:b/>
          <w:color w:val="006877"/>
          <w:sz w:val="26"/>
        </w:rPr>
        <w:t>1. § Az adatfeldolgozás tárgya — Adatkategória-táblázat</w:t>
      </w:r>
    </w:p>
    <w:p>
      <w:pPr/>
      <w:r>
        <w:rPr>
          <w:sz w:val="21"/>
        </w:rPr>
        <w:t>1. OPERATÍV/GPS ADATOK | GPS koordináták, sebesség, útvonal, megállók | Jogos érdek/szerz. | 30–90 nap</w:t>
      </w:r>
    </w:p>
    <w:p>
      <w:pPr/>
      <w:r>
        <w:rPr>
          <w:sz w:val="21"/>
        </w:rPr>
        <w:t>2. MUNKAIDŐ-ADATOK | Sofőr neve, ID, be/kilépés, projekt, jelenléti adatok | Szerz. telj./jogi köt. | Szerz. ideje</w:t>
      </w:r>
    </w:p>
    <w:p>
      <w:pPr/>
      <w:r>
        <w:rPr>
          <w:sz w:val="21"/>
        </w:rPr>
        <w:t>3. TIG/BÉRSZÁMFEJTÉSI ADATOK | Menetlevél, TIG, NEXON export mezők | Jogi kötelezettség (Szt. 169. §) | 8 ÉV</w:t>
      </w:r>
    </w:p>
    <w:p>
      <w:pPr/>
      <w:r>
        <w:rPr>
          <w:sz w:val="21"/>
        </w:rPr>
        <w:t>4. FELHASZNÁLÓI FIÓK | Admin neve, e-mail, bejelentkezési napló | Szerz. telj. | Szerz. + 5 év</w:t>
      </w:r>
    </w:p>
    <w:p>
      <w:pPr/>
      <w:r>
        <w:rPr>
          <w:sz w:val="21"/>
        </w:rPr>
        <w:t>5. COMPLIANCE RIASZTÁSOK | Karbantartási/TIG-riasztások, jóváhagyási rekordok | Szerz. telj. | Szerz. ideje</w:t>
      </w:r>
    </w:p>
    <w:p>
      <w:pPr/>
      <w:r>
        <w:rPr>
          <w:sz w:val="21"/>
        </w:rPr>
        <w:t>TILTOTT: Különleges kategóriájú adatok (GDPR 9. cikk: egészségügyi, biometrikus, büntetőjogi).</w:t>
      </w:r>
    </w:p>
    <w:p/>
    <w:p>
      <w:pPr>
        <w:pStyle w:val="Heading2"/>
      </w:pPr>
      <w:r>
        <w:rPr>
          <w:b/>
          <w:color w:val="006877"/>
          <w:sz w:val="26"/>
        </w:rPr>
        <w:t>2. § Az adatfeldolgozó 8 kötelező GDPR 28. cikk (3) bek. kötelezettsége</w:t>
      </w:r>
    </w:p>
    <w:p>
      <w:pPr/>
      <w:r>
        <w:rPr>
          <w:sz w:val="21"/>
        </w:rPr>
        <w:t>(a) Csak dokumentált utasítások alapján kezel. Jogszerűtlen utasítást jelent az Adatkezelőnek.</w:t>
      </w:r>
    </w:p>
    <w:p>
      <w:pPr/>
      <w:r>
        <w:rPr>
          <w:sz w:val="21"/>
        </w:rPr>
        <w:t>(b) Titoktartás: minden adathoz hozzáférő személy kötelezett.</w:t>
      </w:r>
    </w:p>
    <w:p>
      <w:pPr/>
      <w:r>
        <w:rPr>
          <w:sz w:val="21"/>
        </w:rPr>
        <w:t>(c) GDPR 32. cikk szerinti technikai és szervezési intézkedések (TOM).</w:t>
      </w:r>
    </w:p>
    <w:p>
      <w:pPr/>
      <w:r>
        <w:rPr>
          <w:sz w:val="21"/>
        </w:rPr>
        <w:t>(d) Alvállalkozók: általános előzetes engedély + 15 napos előzetes értesítés változásnál; tiltakozás lehetséges.</w:t>
      </w:r>
    </w:p>
    <w:p>
      <w:pPr/>
      <w:r>
        <w:rPr>
          <w:sz w:val="21"/>
        </w:rPr>
        <w:t>(e) Érintetti jogok (hozzáférés, törlés, korlátozás stb.) teljesítésének segítése.</w:t>
      </w:r>
    </w:p>
    <w:p>
      <w:pPr/>
      <w:r>
        <w:rPr>
          <w:sz w:val="21"/>
        </w:rPr>
        <w:t>(f) GDPR 32–36. cikk szerinti kötelezettségek (biztonság, incidens, DPIA) segítése.</w:t>
      </w:r>
    </w:p>
    <w:p>
      <w:pPr/>
      <w:r>
        <w:rPr>
          <w:sz w:val="21"/>
        </w:rPr>
        <w:t>(g) Adatok visszaadása vagy törlése a Megállapodás megszűnésekor.</w:t>
      </w:r>
    </w:p>
    <w:p>
      <w:pPr/>
      <w:r>
        <w:rPr>
          <w:sz w:val="21"/>
        </w:rPr>
        <w:t>(h) Auditálhatóság: dokumentáció és tanúsítványok megosztása; helyszíni audit max. évi 1× (30 napos előzetes értesítés).</w:t>
      </w:r>
    </w:p>
    <w:p/>
    <w:p>
      <w:pPr>
        <w:pStyle w:val="Heading2"/>
      </w:pPr>
      <w:r>
        <w:rPr>
          <w:b/>
          <w:color w:val="006877"/>
          <w:sz w:val="26"/>
        </w:rPr>
        <w:t>3. § Alvállalkozó adatfeldolgozók</w:t>
      </w:r>
    </w:p>
    <w:p>
      <w:pPr/>
      <w:r>
        <w:rPr>
          <w:sz w:val="21"/>
        </w:rPr>
        <w:t>Engedélyezett: Felhőinfrastruktúra (AWS/Azure, EU), e-mail szolgáltató (EU), monitoring (EU), CRM/support (EU).</w:t>
      </w:r>
    </w:p>
    <w:p>
      <w:pPr/>
      <w:r>
        <w:rPr>
          <w:sz w:val="21"/>
        </w:rPr>
        <w:t>Kötelezettség: Minden alvállalkozóra DPA-val egyenértékű szerződéses kötelezettségek továbbterheli (GDPR 28. cikk (4) bek.).</w:t>
      </w:r>
    </w:p>
    <w:p>
      <w:pPr/>
      <w:r>
        <w:rPr>
          <w:sz w:val="21"/>
        </w:rPr>
        <w:t>Értesítés: 15 nap előre új alvállalkozó bevonásáról. Adatkezelő tiltakozhat.</w:t>
      </w:r>
    </w:p>
    <w:p>
      <w:pPr/>
      <w:r>
        <w:rPr>
          <w:sz w:val="21"/>
        </w:rPr>
        <w:t>Naprakész alvállalkozói lista kérelemre rendelkezésre áll.</w:t>
      </w:r>
    </w:p>
    <w:p/>
    <w:p>
      <w:pPr>
        <w:pStyle w:val="Heading2"/>
      </w:pPr>
      <w:r>
        <w:rPr>
          <w:b/>
          <w:color w:val="006877"/>
          <w:sz w:val="26"/>
        </w:rPr>
        <w:t>4. § Technikai és szervezési intézkedések (TOM — GDPR 32. cikk)</w:t>
      </w:r>
    </w:p>
    <w:p>
      <w:pPr/>
      <w:r>
        <w:rPr>
          <w:sz w:val="21"/>
        </w:rPr>
        <w:t>Hozzáférés-kezelés: RBAC, legkisebb jogosultság, MFA admin hozzáférésekhez, negyedéves hozzáférés-felülvizsgálat.</w:t>
      </w:r>
    </w:p>
    <w:p>
      <w:pPr/>
      <w:r>
        <w:rPr>
          <w:sz w:val="21"/>
        </w:rPr>
        <w:t>Titkosítás: TLS 1.2+ átvitelben; tárolási titkosítás éles adatbázisokhoz és mentésekhez.</w:t>
      </w:r>
    </w:p>
    <w:p>
      <w:pPr/>
      <w:r>
        <w:rPr>
          <w:sz w:val="21"/>
        </w:rPr>
        <w:t>GPS-adatok minimalizálása: Konfigurálható megőrzési idő, célhoz kötött hozzáférés, munkaidőn kívüli nyomkövetés letiltásának támogatása.</w:t>
      </w:r>
    </w:p>
    <w:p>
      <w:pPr/>
      <w:r>
        <w:rPr>
          <w:sz w:val="21"/>
        </w:rPr>
        <w:t>Naplózás: Admin műveletek, exportok, szerepkör-változások és support-hozzáférések naplózva.</w:t>
      </w:r>
    </w:p>
    <w:p>
      <w:pPr/>
      <w:r>
        <w:rPr>
          <w:sz w:val="21"/>
        </w:rPr>
        <w:t>Mentés: Titkosított mentések, rendszeres restore-tesztek, meghatározott RPO/RTO.</w:t>
      </w:r>
    </w:p>
    <w:p>
      <w:pPr/>
      <w:r>
        <w:rPr>
          <w:sz w:val="21"/>
        </w:rPr>
        <w:t>Bérlői elkülönítés: Ügyfelek adatainak logikai szétválasztása az éles és fejlesztői/tesztkörnyezet szétválasztásával.</w:t>
      </w:r>
    </w:p>
    <w:p>
      <w:pPr/>
      <w:r>
        <w:rPr>
          <w:sz w:val="21"/>
        </w:rPr>
        <w:t>Személyzet: Titoktartási kötelezettség, GDPR-képzés, biztonsági fejlesztési folyamat.</w:t>
      </w:r>
    </w:p>
    <w:p/>
    <w:p>
      <w:pPr>
        <w:pStyle w:val="Heading2"/>
      </w:pPr>
      <w:r>
        <w:rPr>
          <w:b/>
          <w:color w:val="006877"/>
          <w:sz w:val="26"/>
        </w:rPr>
        <w:t>5. § Adatvédelmi incidens kezelése</w:t>
      </w:r>
    </w:p>
    <w:p>
      <w:pPr/>
      <w:r>
        <w:rPr>
          <w:sz w:val="21"/>
        </w:rPr>
        <w:t>t=0: DVP észleli az incidenst.</w:t>
      </w:r>
    </w:p>
    <w:p>
      <w:pPr/>
      <w:r>
        <w:rPr>
          <w:sz w:val="21"/>
        </w:rPr>
        <w:t>t+24h: DVP értesíti az Adatkezelőt (az észleléstől, nem a teljes kivizsgálástól számítandó).</w:t>
      </w:r>
    </w:p>
    <w:p>
      <w:pPr/>
      <w:r>
        <w:rPr>
          <w:sz w:val="21"/>
        </w:rPr>
        <w:t>t+72h: Az ADATKEZELŐ köteles a NAIH-t értesíteni (GDPR 33. cikk) — ez az Adatkezelő felelőssége.</w:t>
      </w:r>
    </w:p>
    <w:p>
      <w:pPr/>
      <w:r>
        <w:rPr>
          <w:sz w:val="21"/>
        </w:rPr>
        <w:t>Az értesítés tartalma: incidens jellege, érintett adatkategóriák, várható következmények, megtett intézkedések, kapcsolattartó.</w:t>
      </w:r>
    </w:p>
    <w:p>
      <w:pPr/>
      <w:r>
        <w:rPr>
          <w:sz w:val="21"/>
        </w:rPr>
        <w:t>DVP gördülő frissítéseket nyújt. Együttműködik a NAIH-bejelentés és érintetti értesítés (GDPR 34. cikk) előkészítésében.</w:t>
      </w:r>
    </w:p>
    <w:p/>
    <w:p>
      <w:pPr>
        <w:pStyle w:val="Heading2"/>
      </w:pPr>
      <w:r>
        <w:rPr>
          <w:b/>
          <w:color w:val="006877"/>
          <w:sz w:val="26"/>
        </w:rPr>
        <w:t>6. § Megbízás megszűnése és adattörlés</w:t>
      </w:r>
    </w:p>
    <w:p>
      <w:pPr/>
      <w:r>
        <w:rPr>
          <w:sz w:val="21"/>
        </w:rPr>
        <w:t>30 napos adatexport ablak: CSV/XLSX/JSON formátum (GPS, TIG, munkaidő, NEXON, riportok).</w:t>
      </w:r>
    </w:p>
    <w:p>
      <w:pPr/>
      <w:r>
        <w:rPr>
          <w:sz w:val="21"/>
        </w:rPr>
        <w:t>Export ablak lejárta után: Törlés az aktív rendszerekből. Biztonsági mentések fokozatosan törlődnek.</w:t>
      </w:r>
    </w:p>
    <w:p>
      <w:pPr/>
      <w:r>
        <w:rPr>
          <w:sz w:val="21"/>
        </w:rPr>
        <w:t>TIG/bérszámfejtési adatok: Adatkezelő utasítása és Szt. 169. § alapján tovább megőrizhetők.</w:t>
      </w:r>
    </w:p>
    <w:p>
      <w:pPr/>
      <w:r>
        <w:rPr>
          <w:sz w:val="21"/>
        </w:rPr>
        <w:t>DVP törlési igazolást bocsát ki kérelemre.</w:t>
      </w:r>
    </w:p>
    <w:p/>
    <w:p>
      <w:pPr>
        <w:pStyle w:val="Heading2"/>
      </w:pPr>
      <w:r>
        <w:rPr>
          <w:b/>
          <w:color w:val="006877"/>
          <w:sz w:val="26"/>
        </w:rPr>
        <w:t>7. § GPS-specifikus adatkezelői kötelezettségek és kártalanítás</w:t>
      </w:r>
    </w:p>
    <w:p>
      <w:pPr/>
      <w:r>
        <w:rPr>
          <w:sz w:val="21"/>
        </w:rPr>
        <w:t>ADATKEZELŐ SZAVATOLJA: Érvényes LIA (érdekmérlegelési teszt, GDPR 6. cikk (1) bek. f) pont).</w:t>
      </w:r>
    </w:p>
    <w:p>
      <w:pPr/>
      <w:r>
        <w:rPr>
          <w:sz w:val="21"/>
        </w:rPr>
        <w:t>Munkahelyi Adatvédelmi Szabályzat elfogadva (Mt. 11/A. §).</w:t>
      </w:r>
    </w:p>
    <w:p>
      <w:pPr/>
      <w:r>
        <w:rPr>
          <w:sz w:val="21"/>
        </w:rPr>
        <w:t>Munkavállalók írásos, előzetes tájékoztatása a megfigyelésről.</w:t>
      </w:r>
    </w:p>
    <w:p>
      <w:pPr/>
      <w:r>
        <w:rPr>
          <w:sz w:val="21"/>
        </w:rPr>
        <w:t>Figyelmeztető matrica a GPS-szel felszerelt járművekben (NAIH iránymutatás).</w:t>
      </w:r>
    </w:p>
    <w:p>
      <w:pPr/>
      <w:r>
        <w:rPr>
          <w:sz w:val="21"/>
        </w:rPr>
        <w:t>Szükség esetén DPIA elvégzése (GDPR 35. cikk).</w:t>
      </w:r>
    </w:p>
    <w:p>
      <w:pPr/>
      <w:r>
        <w:rPr>
          <w:sz w:val="21"/>
        </w:rPr>
        <w:t>KÁRTALANÍTÁS: Adatkezelő teljeskörűen kártalanítja DVP-t minden NAIH-bírság, szankció és harmadik fél igény tekintetében, amely az Adatkezelő hamis GPS-garanciájából vagy jogellenes adatkezelési utasításából ered.</w:t>
      </w:r>
    </w:p>
    <w:p/>
    <w:p>
      <w:pPr>
        <w:pStyle w:val="Heading2"/>
      </w:pPr>
      <w:r>
        <w:rPr>
          <w:b/>
          <w:color w:val="006877"/>
          <w:sz w:val="26"/>
        </w:rPr>
        <w:t>8. § Záró rendelkezések</w:t>
      </w:r>
    </w:p>
    <w:p>
      <w:pPr/>
      <w:r>
        <w:rPr>
          <w:sz w:val="21"/>
        </w:rPr>
        <w:t>Irányadó jog: Magyar jog.</w:t>
      </w:r>
    </w:p>
    <w:p>
      <w:pPr/>
      <w:r>
        <w:rPr>
          <w:sz w:val="21"/>
        </w:rPr>
        <w:t>Illetékesség: Fővárosi Törvényszék, ill. hatáskör hiányában Budai Kerületi Bíróság (Pp. 25. §).</w:t>
      </w:r>
    </w:p>
    <w:p>
      <w:pPr/>
      <w:r>
        <w:rPr>
          <w:sz w:val="21"/>
        </w:rPr>
        <w:t>Módosítás: Kizárólag írásban, mindkét fél aláírásával.</w:t>
      </w:r>
    </w:p>
    <w:p>
      <w:pPr/>
      <w:r>
        <w:rPr>
          <w:sz w:val="21"/>
        </w:rPr>
        <w:t>Hatálybalépés: Az előfizetési szerződés hatálybalépésének napján.</w:t>
      </w:r>
    </w:p>
    <w:p/>
    <w:p>
      <w:pPr>
        <w:pStyle w:val="Heading2"/>
      </w:pPr>
      <w:r>
        <w:t>Aláírási blokk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41"/>
        <w:gridCol w:w="3041"/>
        <w:gridCol w:w="3041"/>
      </w:tblGrid>
      <w:tr>
        <w:tc>
          <w:tcPr>
            <w:tcW w:type="dxa" w:w="3041"/>
          </w:tcPr>
          <w:p>
            <w:r>
              <w:rPr>
                <w:b/>
              </w:rPr>
              <w:t>Mező</w:t>
            </w:r>
          </w:p>
        </w:tc>
        <w:tc>
          <w:tcPr>
            <w:tcW w:type="dxa" w:w="3041"/>
          </w:tcPr>
          <w:p>
            <w:r>
              <w:rPr>
                <w:b/>
              </w:rPr>
              <w:t>Adatkezelő</w:t>
            </w:r>
          </w:p>
        </w:tc>
        <w:tc>
          <w:tcPr>
            <w:tcW w:type="dxa" w:w="3041"/>
          </w:tcPr>
          <w:p>
            <w:r>
              <w:rPr>
                <w:b/>
              </w:rPr>
              <w:t>Adatfeldolgozó</w:t>
            </w:r>
          </w:p>
        </w:tc>
      </w:tr>
      <w:tr>
        <w:tc>
          <w:tcPr>
            <w:tcW w:type="dxa" w:w="3041"/>
          </w:tcPr>
          <w:p>
            <w:r>
              <w:t>Teljes cégnév</w:t>
            </w:r>
          </w:p>
        </w:tc>
        <w:tc>
          <w:tcPr>
            <w:tcW w:type="dxa" w:w="3041"/>
          </w:tcPr>
          <w:p>
            <w:r>
              <w:t>_________________________ Kft./Zrt.</w:t>
            </w:r>
          </w:p>
        </w:tc>
        <w:tc>
          <w:tcPr>
            <w:tcW w:type="dxa" w:w="3041"/>
          </w:tcPr>
          <w:p>
            <w:r>
              <w:t>DVP Systems Korlátolt Felelősségű Társaság</w:t>
            </w:r>
          </w:p>
        </w:tc>
      </w:tr>
      <w:tr>
        <w:tc>
          <w:tcPr>
            <w:tcW w:type="dxa" w:w="3041"/>
          </w:tcPr>
          <w:p>
            <w:r>
              <w:t>Adószám / Cégjegyzékszám</w:t>
            </w:r>
          </w:p>
        </w:tc>
        <w:tc>
          <w:tcPr>
            <w:tcW w:type="dxa" w:w="3041"/>
          </w:tcPr>
          <w:p>
            <w:r>
              <w:t>_________________________</w:t>
            </w:r>
          </w:p>
        </w:tc>
        <w:tc>
          <w:tcPr>
            <w:tcW w:type="dxa" w:w="3041"/>
          </w:tcPr>
          <w:p>
            <w:r>
              <w:t>32788156-2-42 / 01 09 442670</w:t>
            </w:r>
          </w:p>
        </w:tc>
      </w:tr>
      <w:tr>
        <w:tc>
          <w:tcPr>
            <w:tcW w:type="dxa" w:w="3041"/>
          </w:tcPr>
          <w:p>
            <w:r>
              <w:t>Képviseli (neve)</w:t>
            </w:r>
          </w:p>
        </w:tc>
        <w:tc>
          <w:tcPr>
            <w:tcW w:type="dxa" w:w="3041"/>
          </w:tcPr>
          <w:p>
            <w:r>
              <w:t>_________________________</w:t>
            </w:r>
          </w:p>
        </w:tc>
        <w:tc>
          <w:tcPr>
            <w:tcW w:type="dxa" w:w="3041"/>
          </w:tcPr>
          <w:p>
            <w:r>
              <w:t>_________________________</w:t>
            </w:r>
          </w:p>
        </w:tc>
      </w:tr>
      <w:tr>
        <w:tc>
          <w:tcPr>
            <w:tcW w:type="dxa" w:w="3041"/>
          </w:tcPr>
          <w:p>
            <w:r>
              <w:t>Dátum</w:t>
            </w:r>
          </w:p>
        </w:tc>
        <w:tc>
          <w:tcPr>
            <w:tcW w:type="dxa" w:w="3041"/>
          </w:tcPr>
          <w:p>
            <w:r>
              <w:t>____. ____. ____.</w:t>
            </w:r>
          </w:p>
        </w:tc>
        <w:tc>
          <w:tcPr>
            <w:tcW w:type="dxa" w:w="3041"/>
          </w:tcPr>
          <w:p>
            <w:r>
              <w:t>____. ____. ____.</w:t>
            </w:r>
          </w:p>
        </w:tc>
      </w:tr>
      <w:tr>
        <w:tc>
          <w:tcPr>
            <w:tcW w:type="dxa" w:w="3041"/>
          </w:tcPr>
          <w:p>
            <w:r>
              <w:t>Aláírás / Bélyegző</w:t>
            </w:r>
          </w:p>
        </w:tc>
        <w:tc>
          <w:tcPr>
            <w:tcW w:type="dxa" w:w="3041"/>
          </w:tcPr>
          <w:p>
            <w:r>
              <w:br/>
              <w:br/>
              <w:t>_________________________</w:t>
            </w:r>
          </w:p>
        </w:tc>
        <w:tc>
          <w:tcPr>
            <w:tcW w:type="dxa" w:w="3041"/>
          </w:tcPr>
          <w:p>
            <w:r>
              <w:br/>
              <w:br/>
              <w:t>_________________________</w:t>
            </w:r>
          </w:p>
        </w:tc>
      </w:tr>
    </w:tbl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Adatfeldolgozói Megállapodás – DVP Systems Kft.</dc:title>
  <dc:subject/>
  <dc:creator>DVP Systems Kft.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